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OBWIESZCZENIE O DRUGIEJ LICYTACJI NIERUCHOMOŚCI 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Komornik Sądowy przy Sądzie Rejonowym w Stalowej Woli Ewelina Bąk na podstawie art. 953 </w:t>
      </w:r>
      <w:proofErr w:type="spellStart"/>
      <w:r>
        <w:rPr>
          <w:rFonts w:ascii="Times New Roman" w:hAnsi="Times New Roman" w:cs="Times New Roman"/>
          <w:color w:val="000000"/>
        </w:rPr>
        <w:t>kpc</w:t>
      </w:r>
      <w:proofErr w:type="spellEnd"/>
      <w:r>
        <w:rPr>
          <w:rFonts w:ascii="Times New Roman" w:hAnsi="Times New Roman" w:cs="Times New Roman"/>
          <w:color w:val="000000"/>
        </w:rPr>
        <w:t xml:space="preserve"> podaje do publicznej wiadomości, że: w dniu</w:t>
      </w:r>
      <w:r>
        <w:rPr>
          <w:rFonts w:ascii="Times New Roman" w:hAnsi="Times New Roman" w:cs="Times New Roman"/>
          <w:b/>
          <w:bCs/>
          <w:color w:val="000000"/>
        </w:rPr>
        <w:t xml:space="preserve"> 25 kwietnia 2024 r. o godz. 14:15 </w:t>
      </w:r>
      <w:r>
        <w:rPr>
          <w:rFonts w:ascii="Times New Roman" w:hAnsi="Times New Roman" w:cs="Times New Roman"/>
          <w:color w:val="000000"/>
        </w:rPr>
        <w:t xml:space="preserve">w budynku Sądu Rejonowego w Stalowej Woli mieszczącego się pod adresem: 37-450 Stalowa Wola, ul. Popiełuszki 16 </w:t>
      </w:r>
      <w:r>
        <w:rPr>
          <w:rFonts w:ascii="Times New Roman" w:hAnsi="Times New Roman" w:cs="Times New Roman"/>
          <w:color w:val="000000"/>
        </w:rPr>
        <w:br/>
        <w:t xml:space="preserve">w sali nr 9,  odbędzie się 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druga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licytacja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lokalu mieszkalnego stanowiącego odrębną własność składającego się z 3 pokoi, kuchni, przedpokoju, łazienki z </w:t>
      </w:r>
      <w:proofErr w:type="spellStart"/>
      <w:r>
        <w:rPr>
          <w:rFonts w:ascii="Times New Roman" w:hAnsi="Times New Roman" w:cs="Times New Roman"/>
          <w:color w:val="000000"/>
        </w:rPr>
        <w:t>wc</w:t>
      </w:r>
      <w:proofErr w:type="spellEnd"/>
      <w:r>
        <w:rPr>
          <w:rFonts w:ascii="Times New Roman" w:hAnsi="Times New Roman" w:cs="Times New Roman"/>
          <w:color w:val="000000"/>
        </w:rPr>
        <w:t xml:space="preserve"> o pow. łącznej 48,600 m2 wraz z przysługującym udziałem w wysokości 4860/647800 </w:t>
      </w:r>
      <w:r>
        <w:rPr>
          <w:rFonts w:ascii="Times New Roman" w:hAnsi="Times New Roman" w:cs="Times New Roman"/>
          <w:color w:val="000000"/>
        </w:rPr>
        <w:br/>
        <w:t xml:space="preserve">w nieruchomości wspólnej, dla którego prowadzona jest księga wieczysta TB1S/0007467/2, położonego: 37-450 Stalowa Wola, ul. Okulickiego,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dla którego  Sąd Rejonowy w Stalowej Woli V Wydział Ksiąg Wieczystych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prowadzi księgę  wieczystą </w:t>
      </w:r>
      <w:r>
        <w:rPr>
          <w:rFonts w:ascii="Times New Roman" w:hAnsi="Times New Roman" w:cs="Times New Roman"/>
          <w:b/>
          <w:bCs/>
          <w:color w:val="000000"/>
        </w:rPr>
        <w:t xml:space="preserve"> TB1S/00056312/7</w:t>
      </w:r>
      <w:r>
        <w:rPr>
          <w:rFonts w:ascii="Times New Roman" w:hAnsi="Times New Roman" w:cs="Times New Roman"/>
          <w:color w:val="000000"/>
        </w:rPr>
        <w:t xml:space="preserve">  stanowiącego  własność dłużnika. </w:t>
      </w:r>
      <w:r>
        <w:rPr>
          <w:rFonts w:ascii="Times New Roman" w:hAnsi="Times New Roman" w:cs="Times New Roman"/>
          <w:color w:val="000000"/>
        </w:rPr>
        <w:br/>
        <w:t xml:space="preserve">Do lokalu przynależy pomieszczenie piwniczne. 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Suma oszacowania wynosi</w:t>
      </w:r>
      <w:r>
        <w:rPr>
          <w:rFonts w:ascii="Times New Roman" w:hAnsi="Times New Roman" w:cs="Times New Roman"/>
          <w:b/>
          <w:bCs/>
          <w:color w:val="000000"/>
        </w:rPr>
        <w:t xml:space="preserve"> 242 000,00 zł</w:t>
      </w:r>
      <w:r>
        <w:rPr>
          <w:rFonts w:ascii="Times New Roman" w:hAnsi="Times New Roman" w:cs="Times New Roman"/>
          <w:color w:val="000000"/>
        </w:rPr>
        <w:t>, zaś cena wywołania jest równa</w:t>
      </w:r>
      <w:r>
        <w:rPr>
          <w:rFonts w:ascii="Times New Roman" w:hAnsi="Times New Roman" w:cs="Times New Roman"/>
          <w:b/>
          <w:bCs/>
          <w:color w:val="000000"/>
        </w:rPr>
        <w:t xml:space="preserve"> 2/3 </w:t>
      </w:r>
      <w:r>
        <w:rPr>
          <w:rFonts w:ascii="Times New Roman" w:hAnsi="Times New Roman" w:cs="Times New Roman"/>
          <w:color w:val="000000"/>
        </w:rPr>
        <w:t xml:space="preserve">sumy oszacowania i wynosi 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161 333,33  zł.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Licytant przystępujący do przetargu powinien złożyć rękojmię w wysokości jednej dziesiątej sumy oszacowania, to jest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24 200,00 </w:t>
      </w:r>
      <w:r>
        <w:rPr>
          <w:rFonts w:ascii="Times New Roman" w:hAnsi="Times New Roman" w:cs="Times New Roman"/>
          <w:b/>
          <w:bCs/>
          <w:color w:val="000000"/>
        </w:rPr>
        <w:t xml:space="preserve">zł </w:t>
      </w:r>
      <w:r>
        <w:rPr>
          <w:rFonts w:ascii="Times New Roman" w:hAnsi="Times New Roman" w:cs="Times New Roman"/>
          <w:color w:val="000000"/>
        </w:rPr>
        <w:t>najpóźniej w dniu poprzedzającym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przetarg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Rękojmia powinna być złożona w gotówce albo książeczce oszczędnościowej banków uprawnionych według prawa bankowego zaopatrzonej w upoważnienie właściciela książeczki do wypłaty całego wkładu stosownie do prawomocnego postanowienia sądu o utracie rękojmi. 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Rękojmię można uiścić w kasie kancelarii a także na konto  komornika: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BNP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Paribas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Bank Polska S.A. 15 1600 1462 1821 7222 5000 0004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najpóźniej w dniu poprzedzającym przetarg. 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Zgodnie z przepisem art.976 §1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 przetargu nie mogą uczestniczyć osoby, które mogą nabyć nieruchomość tylko za zezwoleniem organu państwowego, a zezwolenia tego nie przedstawiły oraz inne osoby wymienione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w tym artykule.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ciągu dwóch tygodni przed licytacją wolno oglądać nieruchomość w dni powszednie od godz. 12:00 do godz. 14:00 oraz przeglądać odpis protokołu opisu i oszacowania, operat szacunkowy biegłego sądowego, wypis </w:t>
      </w:r>
      <w:r>
        <w:rPr>
          <w:rFonts w:ascii="Times New Roman" w:hAnsi="Times New Roman" w:cs="Times New Roman"/>
          <w:sz w:val="22"/>
          <w:szCs w:val="22"/>
        </w:rPr>
        <w:br/>
        <w:t xml:space="preserve">z rejestru gruntów z mapką z akt postępowania egzekucyjnego w Sądzie Rejonowym w Stalowej Woli mieszczącym się pod adresem: 37-450 Stalowa Wola, ul. Popiełuszki 16. </w:t>
      </w: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Prawa osób trzecich nie będą przeszkodą do licytacji i przysądzenia własności na rzecz nabywcy bez zastrzeżeń, jeżeli osoby te przed rozpoczęciem przetargu nie złożą dowodu, że wniosły powództwo o zwolnienie nieruchomości lub przedmiotów razem z nią zajętych od egzekucji i uzyskały w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tym zakresie orzeczenie wstrzymujące egzekucję.</w:t>
      </w:r>
    </w:p>
    <w:p w:rsidR="007E4935" w:rsidRDefault="007E4935" w:rsidP="007E4935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Użytkowanie, służebności i prawa dożywotnika, jeżeli nie są ujawnione w księdze wieczystej lub przez złożenie dokumentu do zbioru dokumentów i nie zostaną zgłoszone najpóźniej na trzy dni przed rozpoczęciem licytacji, nie będą uwzględnione w dalszym toku egzekucji i wygasną z chwilą uprawomocnienia się postanowienia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o przysądzeniu własności.</w:t>
      </w:r>
      <w:r>
        <w:rPr>
          <w:rFonts w:ascii="Times New Roman" w:hAnsi="Times New Roman" w:cs="Times New Roman"/>
        </w:rPr>
        <w:t xml:space="preserve">  </w:t>
      </w:r>
    </w:p>
    <w:p w:rsidR="007E4935" w:rsidRPr="007E4935" w:rsidRDefault="007E4935" w:rsidP="007E493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F01F9E" w:rsidRPr="007E4935" w:rsidRDefault="007E4935" w:rsidP="007E4935">
      <w:pPr>
        <w:jc w:val="right"/>
        <w:rPr>
          <w:rFonts w:ascii="Times New Roman" w:hAnsi="Times New Roman" w:cs="Times New Roman"/>
        </w:rPr>
      </w:pPr>
      <w:r w:rsidRPr="007E4935">
        <w:rPr>
          <w:rFonts w:ascii="Times New Roman" w:hAnsi="Times New Roman" w:cs="Times New Roman"/>
        </w:rPr>
        <w:t>Komornik Sądowy</w:t>
      </w:r>
    </w:p>
    <w:p w:rsidR="007E4935" w:rsidRPr="007E4935" w:rsidRDefault="007E4935" w:rsidP="007E4935">
      <w:pPr>
        <w:jc w:val="right"/>
        <w:rPr>
          <w:rFonts w:ascii="Times New Roman" w:hAnsi="Times New Roman" w:cs="Times New Roman"/>
        </w:rPr>
      </w:pPr>
      <w:r w:rsidRPr="007E4935">
        <w:rPr>
          <w:rFonts w:ascii="Times New Roman" w:hAnsi="Times New Roman" w:cs="Times New Roman"/>
        </w:rPr>
        <w:t xml:space="preserve">Ewelina Bąk. </w:t>
      </w:r>
    </w:p>
    <w:sectPr w:rsidR="007E4935" w:rsidRPr="007E4935" w:rsidSect="00C11B60">
      <w:headerReference w:type="default" r:id="rId5"/>
      <w:footerReference w:type="default" r:id="rId6"/>
      <w:pgSz w:w="11905" w:h="16838"/>
      <w:pgMar w:top="850" w:right="850" w:bottom="794" w:left="85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60" w:rsidRDefault="007E4935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60" w:rsidRDefault="007E4935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0D"/>
    <w:rsid w:val="000F010D"/>
    <w:rsid w:val="00451568"/>
    <w:rsid w:val="00652B19"/>
    <w:rsid w:val="007E4935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0F01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0F01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2024-03-26T06:37:00Z</dcterms:created>
  <dcterms:modified xsi:type="dcterms:W3CDTF">2024-03-26T08:14:00Z</dcterms:modified>
</cp:coreProperties>
</file>